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64869" w14:textId="77777777" w:rsidR="00786A99" w:rsidRDefault="00786A99" w:rsidP="000E192A">
      <w:pPr>
        <w:jc w:val="center"/>
        <w:outlineLvl w:val="0"/>
        <w:rPr>
          <w:rFonts w:ascii="Arial" w:hAnsi="Arial" w:cs="Arial"/>
          <w:b/>
          <w:sz w:val="28"/>
          <w:szCs w:val="28"/>
        </w:rPr>
      </w:pPr>
    </w:p>
    <w:p w14:paraId="1C989215" w14:textId="56346608" w:rsidR="0029402B" w:rsidRDefault="00377457" w:rsidP="000E192A">
      <w:pPr>
        <w:jc w:val="center"/>
        <w:outlineLvl w:val="0"/>
        <w:rPr>
          <w:rFonts w:ascii="Arial" w:hAnsi="Arial" w:cs="Arial"/>
          <w:b/>
          <w:sz w:val="28"/>
          <w:szCs w:val="28"/>
        </w:rPr>
      </w:pPr>
      <w:r>
        <w:rPr>
          <w:rFonts w:ascii="Arial" w:hAnsi="Arial"/>
          <w:b/>
          <w:sz w:val="28"/>
        </w:rPr>
        <w:t xml:space="preserve">The Italian Security Industry: </w:t>
      </w:r>
      <w:r>
        <w:rPr>
          <w:rFonts w:ascii="Arial" w:hAnsi="Arial"/>
          <w:b/>
          <w:sz w:val="28"/>
        </w:rPr>
        <w:br/>
        <w:t>digitisation, integration and convergence between technologies, which are the drivers of industry development in the post-Covid world</w:t>
      </w:r>
    </w:p>
    <w:p w14:paraId="2428E594" w14:textId="77777777" w:rsidR="002B7AD6" w:rsidRDefault="002B7AD6" w:rsidP="006249AA">
      <w:pPr>
        <w:jc w:val="both"/>
        <w:rPr>
          <w:rFonts w:ascii="Arial" w:hAnsi="Arial" w:cs="Arial"/>
          <w:i/>
          <w:sz w:val="20"/>
        </w:rPr>
      </w:pPr>
    </w:p>
    <w:p w14:paraId="4FFC3036" w14:textId="77777777" w:rsidR="00377457" w:rsidRDefault="00377457" w:rsidP="00377457">
      <w:pPr>
        <w:spacing w:line="360" w:lineRule="auto"/>
        <w:jc w:val="both"/>
        <w:rPr>
          <w:rFonts w:ascii="Arial" w:hAnsi="Arial" w:cs="Arial"/>
          <w:sz w:val="22"/>
          <w:szCs w:val="22"/>
        </w:rPr>
      </w:pPr>
    </w:p>
    <w:p w14:paraId="18D27278" w14:textId="04344887" w:rsidR="00151C11" w:rsidRPr="00B83BBE" w:rsidRDefault="001762BC" w:rsidP="00377457">
      <w:pPr>
        <w:spacing w:line="360" w:lineRule="auto"/>
        <w:jc w:val="both"/>
        <w:rPr>
          <w:rFonts w:ascii="Arial" w:hAnsi="Arial" w:cs="Arial"/>
          <w:sz w:val="22"/>
        </w:rPr>
      </w:pPr>
      <w:r>
        <w:rPr>
          <w:rFonts w:ascii="Arial" w:hAnsi="Arial"/>
          <w:sz w:val="22"/>
        </w:rPr>
        <w:t xml:space="preserve">The Italian </w:t>
      </w:r>
      <w:r>
        <w:rPr>
          <w:rFonts w:ascii="Arial" w:hAnsi="Arial"/>
          <w:b/>
          <w:bCs/>
          <w:sz w:val="22"/>
        </w:rPr>
        <w:t>building Security and Automation</w:t>
      </w:r>
      <w:r>
        <w:rPr>
          <w:rFonts w:ascii="Arial" w:hAnsi="Arial"/>
          <w:sz w:val="22"/>
        </w:rPr>
        <w:t xml:space="preserve"> technology supplier industry represented in </w:t>
      </w:r>
      <w:r>
        <w:rPr>
          <w:rFonts w:ascii="Arial" w:hAnsi="Arial"/>
          <w:b/>
          <w:bCs/>
          <w:sz w:val="22"/>
        </w:rPr>
        <w:t>ANIE SICUREZZA</w:t>
      </w:r>
      <w:r>
        <w:rPr>
          <w:rFonts w:ascii="Arial" w:hAnsi="Arial"/>
          <w:sz w:val="22"/>
        </w:rPr>
        <w:t xml:space="preserve"> had a </w:t>
      </w:r>
      <w:r>
        <w:rPr>
          <w:rFonts w:ascii="Arial" w:hAnsi="Arial"/>
          <w:b/>
          <w:bCs/>
          <w:sz w:val="22"/>
        </w:rPr>
        <w:t>total turnover</w:t>
      </w:r>
      <w:r>
        <w:rPr>
          <w:rFonts w:ascii="Arial" w:hAnsi="Arial"/>
          <w:sz w:val="22"/>
        </w:rPr>
        <w:t xml:space="preserve"> of </w:t>
      </w:r>
      <w:r>
        <w:rPr>
          <w:rFonts w:ascii="Arial" w:hAnsi="Arial"/>
          <w:b/>
          <w:bCs/>
          <w:sz w:val="22"/>
        </w:rPr>
        <w:t>2.7 billion Euro</w:t>
      </w:r>
      <w:r>
        <w:rPr>
          <w:rFonts w:ascii="Arial" w:hAnsi="Arial"/>
          <w:sz w:val="22"/>
        </w:rPr>
        <w:t xml:space="preserve"> at the end of 2020.</w:t>
      </w:r>
    </w:p>
    <w:p w14:paraId="5C7E19D1" w14:textId="77777777" w:rsidR="00F75346" w:rsidRPr="00B83BBE" w:rsidRDefault="00F75346" w:rsidP="00377457">
      <w:pPr>
        <w:spacing w:line="360" w:lineRule="auto"/>
        <w:jc w:val="both"/>
        <w:rPr>
          <w:rFonts w:ascii="Arial" w:hAnsi="Arial" w:cs="Arial"/>
          <w:sz w:val="22"/>
        </w:rPr>
      </w:pPr>
    </w:p>
    <w:p w14:paraId="6CB157EA" w14:textId="4B11F725" w:rsidR="00B83BBE" w:rsidRDefault="00464BB2" w:rsidP="00A31017">
      <w:pPr>
        <w:spacing w:line="360" w:lineRule="auto"/>
        <w:jc w:val="both"/>
        <w:rPr>
          <w:rFonts w:ascii="Arial" w:hAnsi="Arial" w:cs="Arial"/>
          <w:sz w:val="22"/>
        </w:rPr>
      </w:pPr>
      <w:r>
        <w:rPr>
          <w:rFonts w:ascii="Arial" w:hAnsi="Arial"/>
          <w:sz w:val="22"/>
        </w:rPr>
        <w:t xml:space="preserve">The Covid crisis took the industry through a prolonged expansion phase, supported by technological innovation and attention to new market needs. In the </w:t>
      </w:r>
      <w:r>
        <w:rPr>
          <w:rFonts w:ascii="Arial" w:hAnsi="Arial"/>
          <w:b/>
          <w:sz w:val="22"/>
        </w:rPr>
        <w:t>2014-2019</w:t>
      </w:r>
      <w:r>
        <w:rPr>
          <w:rFonts w:ascii="Arial" w:hAnsi="Arial"/>
          <w:sz w:val="22"/>
        </w:rPr>
        <w:t xml:space="preserve"> pre-crisis period, the Italian industry supplying technologies for Building Security and Automation had recorded an average annual increase in total turnover of </w:t>
      </w:r>
      <w:r>
        <w:rPr>
          <w:rFonts w:ascii="Arial" w:hAnsi="Arial"/>
          <w:b/>
          <w:sz w:val="22"/>
        </w:rPr>
        <w:t>5.5%</w:t>
      </w:r>
      <w:r>
        <w:rPr>
          <w:rFonts w:ascii="Arial" w:hAnsi="Arial"/>
          <w:sz w:val="22"/>
        </w:rPr>
        <w:t xml:space="preserve">. </w:t>
      </w:r>
    </w:p>
    <w:p w14:paraId="3DA200F2" w14:textId="77777777" w:rsidR="00414F48" w:rsidRDefault="00414F48" w:rsidP="00377457">
      <w:pPr>
        <w:spacing w:line="360" w:lineRule="auto"/>
        <w:jc w:val="both"/>
        <w:rPr>
          <w:rFonts w:ascii="Arial" w:hAnsi="Arial" w:cs="Arial"/>
          <w:sz w:val="22"/>
        </w:rPr>
      </w:pPr>
    </w:p>
    <w:p w14:paraId="7703699F" w14:textId="476BFC22" w:rsidR="00F364D4" w:rsidRDefault="00BE5151" w:rsidP="00377457">
      <w:pPr>
        <w:spacing w:line="360" w:lineRule="auto"/>
        <w:jc w:val="both"/>
        <w:rPr>
          <w:rFonts w:ascii="Arial" w:hAnsi="Arial" w:cs="Arial"/>
          <w:sz w:val="22"/>
        </w:rPr>
      </w:pPr>
      <w:r>
        <w:rPr>
          <w:rFonts w:ascii="Arial" w:hAnsi="Arial"/>
          <w:sz w:val="22"/>
        </w:rPr>
        <w:t xml:space="preserve">Looking at recent trends, the sector was resilient in </w:t>
      </w:r>
      <w:r>
        <w:rPr>
          <w:rFonts w:ascii="Arial" w:hAnsi="Arial"/>
          <w:b/>
          <w:bCs/>
          <w:sz w:val="22"/>
        </w:rPr>
        <w:t>2020</w:t>
      </w:r>
      <w:r>
        <w:rPr>
          <w:rFonts w:ascii="Arial" w:hAnsi="Arial"/>
          <w:sz w:val="22"/>
        </w:rPr>
        <w:t xml:space="preserve">, with </w:t>
      </w:r>
      <w:r>
        <w:rPr>
          <w:rFonts w:ascii="Arial" w:hAnsi="Arial"/>
          <w:b/>
          <w:bCs/>
          <w:sz w:val="22"/>
        </w:rPr>
        <w:t>overall turnover</w:t>
      </w:r>
      <w:r>
        <w:rPr>
          <w:rFonts w:ascii="Arial" w:hAnsi="Arial"/>
          <w:sz w:val="22"/>
        </w:rPr>
        <w:t xml:space="preserve"> remaining broadly stable in a situation deeply affected by the pandemic (a two-digit decline compared to the corresponding decline in the manufacturing average). This trend benefited from the leading role played by video surveillance, against the weaker performance of the other segments, given that demand for technologies supporting security procedures to combat health emergencies remained strong.  </w:t>
      </w:r>
    </w:p>
    <w:p w14:paraId="58F7ECD3" w14:textId="77777777" w:rsidR="00D15BB8" w:rsidRPr="00B83BBE" w:rsidRDefault="00D15BB8" w:rsidP="00377457">
      <w:pPr>
        <w:spacing w:line="360" w:lineRule="auto"/>
        <w:jc w:val="both"/>
        <w:rPr>
          <w:rFonts w:ascii="Arial" w:hAnsi="Arial" w:cs="Arial"/>
          <w:sz w:val="22"/>
        </w:rPr>
      </w:pPr>
      <w:r>
        <w:rPr>
          <w:rFonts w:ascii="Arial" w:hAnsi="Arial"/>
          <w:sz w:val="22"/>
        </w:rPr>
        <w:t xml:space="preserve"> </w:t>
      </w:r>
    </w:p>
    <w:p w14:paraId="2E196E78" w14:textId="66B1B3C5" w:rsidR="00044897" w:rsidRPr="00B83BBE" w:rsidRDefault="003B1047" w:rsidP="00044897">
      <w:pPr>
        <w:spacing w:line="360" w:lineRule="auto"/>
        <w:jc w:val="both"/>
        <w:rPr>
          <w:rFonts w:ascii="Arial" w:hAnsi="Arial" w:cs="Arial"/>
          <w:sz w:val="22"/>
        </w:rPr>
      </w:pPr>
      <w:r>
        <w:rPr>
          <w:rFonts w:ascii="Arial" w:hAnsi="Arial"/>
          <w:sz w:val="22"/>
        </w:rPr>
        <w:t xml:space="preserve">According to the preliminary figures currently available, in </w:t>
      </w:r>
      <w:r>
        <w:rPr>
          <w:rFonts w:ascii="Arial" w:hAnsi="Arial"/>
          <w:b/>
          <w:bCs/>
          <w:sz w:val="22"/>
        </w:rPr>
        <w:t>2021</w:t>
      </w:r>
      <w:r>
        <w:rPr>
          <w:rFonts w:ascii="Arial" w:hAnsi="Arial"/>
          <w:sz w:val="22"/>
        </w:rPr>
        <w:t xml:space="preserve"> the </w:t>
      </w:r>
      <w:r>
        <w:rPr>
          <w:rFonts w:ascii="Arial" w:hAnsi="Arial"/>
          <w:b/>
          <w:bCs/>
          <w:sz w:val="22"/>
        </w:rPr>
        <w:t>Security and Building Automation sector</w:t>
      </w:r>
      <w:r>
        <w:rPr>
          <w:rFonts w:ascii="Arial" w:hAnsi="Arial"/>
          <w:sz w:val="22"/>
        </w:rPr>
        <w:t xml:space="preserve"> is expected to show a rebound in overall turnover, benefiting from the improvement in the macro-economic outlook. After the sharp fall decline in 2020, the current phase is characterised by the restart of investments in the construction market. The reopening of construction sites after months of lockdown supports demand for the </w:t>
      </w:r>
      <w:r w:rsidR="0085326F">
        <w:rPr>
          <w:rFonts w:ascii="Arial" w:hAnsi="Arial"/>
          <w:b/>
          <w:bCs/>
          <w:sz w:val="22"/>
        </w:rPr>
        <w:t>f</w:t>
      </w:r>
      <w:r>
        <w:rPr>
          <w:rFonts w:ascii="Arial" w:hAnsi="Arial"/>
          <w:b/>
          <w:bCs/>
          <w:sz w:val="22"/>
        </w:rPr>
        <w:t>ire-</w:t>
      </w:r>
      <w:r w:rsidR="0085326F">
        <w:rPr>
          <w:rFonts w:ascii="Arial" w:hAnsi="Arial"/>
          <w:b/>
          <w:bCs/>
          <w:sz w:val="22"/>
        </w:rPr>
        <w:t>f</w:t>
      </w:r>
      <w:r>
        <w:rPr>
          <w:rFonts w:ascii="Arial" w:hAnsi="Arial"/>
          <w:b/>
          <w:bCs/>
          <w:sz w:val="22"/>
        </w:rPr>
        <w:t>ighting</w:t>
      </w:r>
      <w:r>
        <w:rPr>
          <w:rFonts w:ascii="Arial" w:hAnsi="Arial"/>
          <w:sz w:val="22"/>
        </w:rPr>
        <w:t xml:space="preserve"> segment, including maintenance activities. After a critical 2020, the </w:t>
      </w:r>
      <w:r>
        <w:rPr>
          <w:rFonts w:ascii="Arial" w:hAnsi="Arial"/>
          <w:b/>
          <w:sz w:val="22"/>
        </w:rPr>
        <w:t xml:space="preserve">anti-intrusion </w:t>
      </w:r>
      <w:r>
        <w:rPr>
          <w:rFonts w:ascii="Arial" w:hAnsi="Arial"/>
          <w:sz w:val="22"/>
        </w:rPr>
        <w:t xml:space="preserve">segment showed an initial recovery. </w:t>
      </w:r>
      <w:r>
        <w:rPr>
          <w:rFonts w:ascii="Arial" w:hAnsi="Arial"/>
          <w:b/>
          <w:bCs/>
          <w:sz w:val="22"/>
        </w:rPr>
        <w:t>Video surveillance</w:t>
      </w:r>
      <w:r>
        <w:rPr>
          <w:rFonts w:ascii="Arial" w:hAnsi="Arial"/>
          <w:sz w:val="22"/>
        </w:rPr>
        <w:t xml:space="preserve"> is confirmed as an important contributor to growth.  At this stage, the demand for security technologies to help fight the pandemic remains high. Although there are positive signs, developments in the sector are still characterised by a high level of uncertainty linked to the development of the health emergency and it is difficult to make forecasts.</w:t>
      </w:r>
    </w:p>
    <w:p w14:paraId="13E53F01" w14:textId="77777777" w:rsidR="00D852C2" w:rsidRDefault="00D852C2" w:rsidP="00D852C2">
      <w:pPr>
        <w:spacing w:line="360" w:lineRule="auto"/>
        <w:jc w:val="both"/>
        <w:rPr>
          <w:rFonts w:ascii="Arial" w:hAnsi="Arial" w:cs="Arial"/>
          <w:sz w:val="22"/>
        </w:rPr>
      </w:pPr>
    </w:p>
    <w:p w14:paraId="2B65F599" w14:textId="267C7B5D" w:rsidR="00044897" w:rsidRDefault="003E4561" w:rsidP="00140B66">
      <w:pPr>
        <w:spacing w:line="360" w:lineRule="auto"/>
        <w:jc w:val="both"/>
        <w:rPr>
          <w:rFonts w:ascii="Arial" w:hAnsi="Arial" w:cs="Arial"/>
          <w:sz w:val="22"/>
        </w:rPr>
      </w:pPr>
      <w:r>
        <w:rPr>
          <w:rFonts w:ascii="Arial" w:hAnsi="Arial"/>
          <w:sz w:val="22"/>
        </w:rPr>
        <w:t xml:space="preserve">More generally, by introducing a major change in lifestyles and demand, the Covid crisis has not slowed down but rather accelerated the </w:t>
      </w:r>
      <w:r>
        <w:rPr>
          <w:rFonts w:ascii="Arial" w:hAnsi="Arial"/>
          <w:b/>
          <w:bCs/>
          <w:sz w:val="22"/>
        </w:rPr>
        <w:t>digitalisation</w:t>
      </w:r>
      <w:r>
        <w:rPr>
          <w:rFonts w:ascii="Arial" w:hAnsi="Arial"/>
          <w:sz w:val="22"/>
        </w:rPr>
        <w:t xml:space="preserve"> and </w:t>
      </w:r>
      <w:r>
        <w:rPr>
          <w:rFonts w:ascii="Arial" w:hAnsi="Arial"/>
          <w:b/>
          <w:bCs/>
          <w:sz w:val="22"/>
        </w:rPr>
        <w:t>technological convergence</w:t>
      </w:r>
      <w:r>
        <w:rPr>
          <w:rFonts w:ascii="Arial" w:hAnsi="Arial"/>
          <w:sz w:val="22"/>
        </w:rPr>
        <w:t xml:space="preserve"> already underway.  In </w:t>
      </w:r>
      <w:r>
        <w:rPr>
          <w:rFonts w:ascii="Arial" w:hAnsi="Arial"/>
          <w:sz w:val="22"/>
        </w:rPr>
        <w:lastRenderedPageBreak/>
        <w:t xml:space="preserve">recent years, companies active in the security sector have been renewing their product portfolios from a digital and integrated perspective and are now ready to respond to the new challenges imposed by the scenario. </w:t>
      </w:r>
    </w:p>
    <w:p w14:paraId="69BD129A" w14:textId="77777777" w:rsidR="00044897" w:rsidRDefault="00044897" w:rsidP="00140B66">
      <w:pPr>
        <w:spacing w:line="360" w:lineRule="auto"/>
        <w:jc w:val="both"/>
        <w:rPr>
          <w:rFonts w:ascii="Arial" w:hAnsi="Arial" w:cs="Arial"/>
          <w:sz w:val="22"/>
        </w:rPr>
      </w:pPr>
    </w:p>
    <w:p w14:paraId="7A8F5658" w14:textId="02A9D2EA" w:rsidR="00AB1432" w:rsidRPr="00B83BBE" w:rsidRDefault="00CA2FC1" w:rsidP="00140B66">
      <w:pPr>
        <w:spacing w:line="360" w:lineRule="auto"/>
        <w:jc w:val="both"/>
        <w:rPr>
          <w:rFonts w:ascii="Arial" w:hAnsi="Arial" w:cs="Arial"/>
          <w:sz w:val="22"/>
        </w:rPr>
      </w:pPr>
      <w:r>
        <w:rPr>
          <w:rFonts w:ascii="Arial" w:hAnsi="Arial"/>
          <w:sz w:val="22"/>
        </w:rPr>
        <w:t xml:space="preserve">Against a still complex backdrop, one of the most </w:t>
      </w:r>
      <w:r>
        <w:rPr>
          <w:rFonts w:ascii="Arial" w:hAnsi="Arial"/>
          <w:b/>
          <w:bCs/>
          <w:sz w:val="22"/>
        </w:rPr>
        <w:t>critical issues</w:t>
      </w:r>
      <w:r>
        <w:rPr>
          <w:rFonts w:ascii="Arial" w:hAnsi="Arial"/>
          <w:sz w:val="22"/>
        </w:rPr>
        <w:t xml:space="preserve"> for industry operators is the sharp rise in prices on the </w:t>
      </w:r>
      <w:r>
        <w:rPr>
          <w:rFonts w:ascii="Arial" w:hAnsi="Arial"/>
          <w:b/>
          <w:bCs/>
          <w:sz w:val="22"/>
        </w:rPr>
        <w:t>raw materials</w:t>
      </w:r>
      <w:r>
        <w:rPr>
          <w:rFonts w:ascii="Arial" w:hAnsi="Arial"/>
          <w:sz w:val="22"/>
        </w:rPr>
        <w:t xml:space="preserve"> market - which in recent months have reached all-time highs - and the slowdown in supplies, factors that risk holding back the recovery of the production cycle and eroding company profitability.</w:t>
      </w:r>
    </w:p>
    <w:sectPr w:rsidR="00AB1432" w:rsidRPr="00B83BBE">
      <w:headerReference w:type="default" r:id="rId11"/>
      <w:footerReference w:type="default" r:id="rId12"/>
      <w:headerReference w:type="first" r:id="rId13"/>
      <w:pgSz w:w="11906" w:h="16838" w:code="9"/>
      <w:pgMar w:top="1418" w:right="1134" w:bottom="2268" w:left="851" w:header="72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B07D68" w14:textId="77777777" w:rsidR="004C06C2" w:rsidRDefault="004C06C2">
      <w:r>
        <w:separator/>
      </w:r>
    </w:p>
  </w:endnote>
  <w:endnote w:type="continuationSeparator" w:id="0">
    <w:p w14:paraId="2AD04F44" w14:textId="77777777" w:rsidR="004C06C2" w:rsidRDefault="004C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0364F" w14:textId="3306F6C5" w:rsidR="00376B6A" w:rsidRDefault="00376B6A">
    <w:pPr>
      <w:pStyle w:val="Pidipagina"/>
      <w:jc w:val="right"/>
    </w:pPr>
    <w:r>
      <w:fldChar w:fldCharType="begin"/>
    </w:r>
    <w:r>
      <w:instrText>PAGE   \* MERGEFORMAT</w:instrText>
    </w:r>
    <w:r>
      <w:fldChar w:fldCharType="separate"/>
    </w:r>
    <w:r w:rsidR="00E067AB">
      <w:rPr>
        <w:noProof/>
      </w:rPr>
      <w:t>2</w:t>
    </w:r>
    <w:r>
      <w:fldChar w:fldCharType="end"/>
    </w:r>
  </w:p>
  <w:p w14:paraId="35403AD5" w14:textId="77777777" w:rsidR="00376B6A" w:rsidRDefault="00376B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9DB897" w14:textId="77777777" w:rsidR="004C06C2" w:rsidRDefault="004C06C2">
      <w:r>
        <w:separator/>
      </w:r>
    </w:p>
  </w:footnote>
  <w:footnote w:type="continuationSeparator" w:id="0">
    <w:p w14:paraId="509CFCC1" w14:textId="77777777" w:rsidR="004C06C2" w:rsidRDefault="004C0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32727" w14:textId="77777777" w:rsidR="00B83BBE" w:rsidRDefault="00B83BBE">
    <w:pPr>
      <w:pStyle w:val="Intestazione"/>
    </w:pPr>
    <w:r>
      <w:rPr>
        <w:rFonts w:ascii="Times New Roman" w:hAnsi="Times New Roman"/>
        <w:noProof/>
        <w:sz w:val="20"/>
        <w:lang w:val="it-IT"/>
      </w:rPr>
      <w:drawing>
        <wp:inline distT="0" distB="0" distL="0" distR="0" wp14:anchorId="3C271078" wp14:editId="41AFAAAE">
          <wp:extent cx="3363908" cy="746760"/>
          <wp:effectExtent l="0" t="0" r="8255" b="0"/>
          <wp:docPr id="4" name="Immagine 4" descr="ANIE_completo_pay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IE_completo_payo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3908" cy="746760"/>
                  </a:xfrm>
                  <a:prstGeom prst="rect">
                    <a:avLst/>
                  </a:prstGeom>
                  <a:noFill/>
                  <a:ln>
                    <a:noFill/>
                  </a:ln>
                </pic:spPr>
              </pic:pic>
            </a:graphicData>
          </a:graphic>
        </wp:inline>
      </w:drawing>
    </w:r>
  </w:p>
  <w:p w14:paraId="76C1CAA6" w14:textId="77777777" w:rsidR="00B83BBE" w:rsidRDefault="00B83BB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D4FFC" w14:textId="77777777" w:rsidR="00376B6A" w:rsidRDefault="00376B6A">
    <w:pPr>
      <w:pStyle w:val="Intestazione"/>
      <w:rPr>
        <w:rFonts w:ascii="Times New Roman" w:hAnsi="Times New Roman"/>
      </w:rPr>
    </w:pPr>
  </w:p>
  <w:p w14:paraId="6E222F1E" w14:textId="77777777" w:rsidR="00376B6A" w:rsidRDefault="007A7B73">
    <w:pPr>
      <w:pStyle w:val="Intestazione"/>
      <w:rPr>
        <w:rFonts w:ascii="Times New Roman" w:hAnsi="Times New Roman"/>
      </w:rPr>
    </w:pPr>
    <w:r>
      <w:rPr>
        <w:rFonts w:ascii="Times New Roman" w:hAnsi="Times New Roman"/>
        <w:noProof/>
        <w:sz w:val="20"/>
        <w:lang w:val="it-IT"/>
      </w:rPr>
      <w:drawing>
        <wp:inline distT="0" distB="0" distL="0" distR="0" wp14:anchorId="0B339BF2" wp14:editId="55F2585F">
          <wp:extent cx="3363908" cy="746760"/>
          <wp:effectExtent l="0" t="0" r="8255" b="0"/>
          <wp:docPr id="1" name="Immagine 1" descr="ANIE_completo_pay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IE_completo_payo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3908" cy="746760"/>
                  </a:xfrm>
                  <a:prstGeom prst="rect">
                    <a:avLst/>
                  </a:prstGeom>
                  <a:noFill/>
                  <a:ln>
                    <a:noFill/>
                  </a:ln>
                </pic:spPr>
              </pic:pic>
            </a:graphicData>
          </a:graphic>
        </wp:inline>
      </w:drawing>
    </w:r>
  </w:p>
  <w:p w14:paraId="3076710F" w14:textId="77777777" w:rsidR="00376B6A" w:rsidRPr="00377457" w:rsidRDefault="00376B6A" w:rsidP="007A7B73">
    <w:pPr>
      <w:pStyle w:val="Intestazione"/>
      <w:rPr>
        <w:rFonts w:ascii="Arial" w:hAnsi="Arial"/>
        <w:b/>
        <w:sz w:val="20"/>
      </w:rPr>
    </w:pPr>
    <w:r>
      <w:rPr>
        <w:rFonts w:ascii="Arial" w:hAnsi="Arial"/>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D54ED"/>
    <w:multiLevelType w:val="hybridMultilevel"/>
    <w:tmpl w:val="92AA07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5C9"/>
    <w:rsid w:val="00003A21"/>
    <w:rsid w:val="00005945"/>
    <w:rsid w:val="00015272"/>
    <w:rsid w:val="0001611E"/>
    <w:rsid w:val="000162A2"/>
    <w:rsid w:val="00017056"/>
    <w:rsid w:val="00026065"/>
    <w:rsid w:val="00035186"/>
    <w:rsid w:val="00037310"/>
    <w:rsid w:val="000374E9"/>
    <w:rsid w:val="00041837"/>
    <w:rsid w:val="00044897"/>
    <w:rsid w:val="00051E92"/>
    <w:rsid w:val="00053C15"/>
    <w:rsid w:val="00061D18"/>
    <w:rsid w:val="0007061B"/>
    <w:rsid w:val="00072AD7"/>
    <w:rsid w:val="0007439C"/>
    <w:rsid w:val="00076E30"/>
    <w:rsid w:val="00086C8A"/>
    <w:rsid w:val="000A5D6C"/>
    <w:rsid w:val="000A5F71"/>
    <w:rsid w:val="000B249D"/>
    <w:rsid w:val="000C31B5"/>
    <w:rsid w:val="000C524F"/>
    <w:rsid w:val="000C5814"/>
    <w:rsid w:val="000E192A"/>
    <w:rsid w:val="000E2B02"/>
    <w:rsid w:val="000E5696"/>
    <w:rsid w:val="000E6330"/>
    <w:rsid w:val="000F5779"/>
    <w:rsid w:val="00107104"/>
    <w:rsid w:val="0011205C"/>
    <w:rsid w:val="00125A2E"/>
    <w:rsid w:val="00137921"/>
    <w:rsid w:val="00140B66"/>
    <w:rsid w:val="00144C6D"/>
    <w:rsid w:val="00145B1D"/>
    <w:rsid w:val="00146F75"/>
    <w:rsid w:val="00147275"/>
    <w:rsid w:val="0015054A"/>
    <w:rsid w:val="00151C11"/>
    <w:rsid w:val="00156830"/>
    <w:rsid w:val="001601AE"/>
    <w:rsid w:val="001637A9"/>
    <w:rsid w:val="00166F44"/>
    <w:rsid w:val="001762BC"/>
    <w:rsid w:val="0018095C"/>
    <w:rsid w:val="00187CC2"/>
    <w:rsid w:val="0019396E"/>
    <w:rsid w:val="00197E17"/>
    <w:rsid w:val="001A5345"/>
    <w:rsid w:val="001C05CC"/>
    <w:rsid w:val="001C1557"/>
    <w:rsid w:val="001C1628"/>
    <w:rsid w:val="001D09B9"/>
    <w:rsid w:val="001D3EB7"/>
    <w:rsid w:val="001D47D0"/>
    <w:rsid w:val="001D7691"/>
    <w:rsid w:val="001E258C"/>
    <w:rsid w:val="001E2D25"/>
    <w:rsid w:val="001E443F"/>
    <w:rsid w:val="001E65A7"/>
    <w:rsid w:val="001F523D"/>
    <w:rsid w:val="001F57B9"/>
    <w:rsid w:val="001F7277"/>
    <w:rsid w:val="00200FE1"/>
    <w:rsid w:val="00206E49"/>
    <w:rsid w:val="002130A2"/>
    <w:rsid w:val="00216C19"/>
    <w:rsid w:val="00223F02"/>
    <w:rsid w:val="00226237"/>
    <w:rsid w:val="00234EF0"/>
    <w:rsid w:val="00237771"/>
    <w:rsid w:val="00253750"/>
    <w:rsid w:val="0027340E"/>
    <w:rsid w:val="00283083"/>
    <w:rsid w:val="00286AD9"/>
    <w:rsid w:val="0029402B"/>
    <w:rsid w:val="002945B2"/>
    <w:rsid w:val="002A5FB4"/>
    <w:rsid w:val="002A78C0"/>
    <w:rsid w:val="002B0378"/>
    <w:rsid w:val="002B165C"/>
    <w:rsid w:val="002B3D6A"/>
    <w:rsid w:val="002B4992"/>
    <w:rsid w:val="002B628A"/>
    <w:rsid w:val="002B6ED6"/>
    <w:rsid w:val="002B7AD6"/>
    <w:rsid w:val="002B7E13"/>
    <w:rsid w:val="002C0776"/>
    <w:rsid w:val="002C1E5B"/>
    <w:rsid w:val="002C31E8"/>
    <w:rsid w:val="002C35C8"/>
    <w:rsid w:val="002C3874"/>
    <w:rsid w:val="002C4D4D"/>
    <w:rsid w:val="002D34F3"/>
    <w:rsid w:val="002E1D6A"/>
    <w:rsid w:val="002E5E7E"/>
    <w:rsid w:val="00304B82"/>
    <w:rsid w:val="00304C1E"/>
    <w:rsid w:val="003078B5"/>
    <w:rsid w:val="00313E7C"/>
    <w:rsid w:val="00313FC4"/>
    <w:rsid w:val="003160F3"/>
    <w:rsid w:val="0033661D"/>
    <w:rsid w:val="003677B0"/>
    <w:rsid w:val="00371D84"/>
    <w:rsid w:val="00374BEA"/>
    <w:rsid w:val="00376B6A"/>
    <w:rsid w:val="00377457"/>
    <w:rsid w:val="003810AD"/>
    <w:rsid w:val="0038167D"/>
    <w:rsid w:val="0038342F"/>
    <w:rsid w:val="00383C86"/>
    <w:rsid w:val="00385B19"/>
    <w:rsid w:val="003939F8"/>
    <w:rsid w:val="003965B3"/>
    <w:rsid w:val="003A50A0"/>
    <w:rsid w:val="003B1047"/>
    <w:rsid w:val="003B250B"/>
    <w:rsid w:val="003B51F8"/>
    <w:rsid w:val="003C1AB3"/>
    <w:rsid w:val="003C4F4C"/>
    <w:rsid w:val="003C506B"/>
    <w:rsid w:val="003C569C"/>
    <w:rsid w:val="003C6DFA"/>
    <w:rsid w:val="003C6EC9"/>
    <w:rsid w:val="003D3E4A"/>
    <w:rsid w:val="003D46F4"/>
    <w:rsid w:val="003D74C1"/>
    <w:rsid w:val="003E4561"/>
    <w:rsid w:val="003E6155"/>
    <w:rsid w:val="003F30D7"/>
    <w:rsid w:val="003F39D0"/>
    <w:rsid w:val="003F5861"/>
    <w:rsid w:val="0040113F"/>
    <w:rsid w:val="004052E5"/>
    <w:rsid w:val="0041351F"/>
    <w:rsid w:val="00414F48"/>
    <w:rsid w:val="00423D27"/>
    <w:rsid w:val="004333C8"/>
    <w:rsid w:val="0043486B"/>
    <w:rsid w:val="004369A4"/>
    <w:rsid w:val="00442CDF"/>
    <w:rsid w:val="00451AFF"/>
    <w:rsid w:val="00451E35"/>
    <w:rsid w:val="0046240E"/>
    <w:rsid w:val="00464BB2"/>
    <w:rsid w:val="00466548"/>
    <w:rsid w:val="0047071E"/>
    <w:rsid w:val="00470912"/>
    <w:rsid w:val="00474F8D"/>
    <w:rsid w:val="004803F9"/>
    <w:rsid w:val="0048179B"/>
    <w:rsid w:val="004829F8"/>
    <w:rsid w:val="00482FB3"/>
    <w:rsid w:val="00484EDD"/>
    <w:rsid w:val="00486D2B"/>
    <w:rsid w:val="004B2844"/>
    <w:rsid w:val="004B7FEC"/>
    <w:rsid w:val="004C06C2"/>
    <w:rsid w:val="004C4C6A"/>
    <w:rsid w:val="004C50ED"/>
    <w:rsid w:val="004C5A81"/>
    <w:rsid w:val="004C6886"/>
    <w:rsid w:val="004D46CD"/>
    <w:rsid w:val="004D5498"/>
    <w:rsid w:val="004E14BA"/>
    <w:rsid w:val="004E4345"/>
    <w:rsid w:val="004E455E"/>
    <w:rsid w:val="004F39AA"/>
    <w:rsid w:val="004F7382"/>
    <w:rsid w:val="005245C9"/>
    <w:rsid w:val="0052514A"/>
    <w:rsid w:val="00535072"/>
    <w:rsid w:val="00551AF7"/>
    <w:rsid w:val="005579BE"/>
    <w:rsid w:val="00566C0D"/>
    <w:rsid w:val="00567C5A"/>
    <w:rsid w:val="0057495E"/>
    <w:rsid w:val="00576FB2"/>
    <w:rsid w:val="005777FC"/>
    <w:rsid w:val="00591195"/>
    <w:rsid w:val="00591281"/>
    <w:rsid w:val="005920AE"/>
    <w:rsid w:val="00595A57"/>
    <w:rsid w:val="005A38CA"/>
    <w:rsid w:val="005A61A6"/>
    <w:rsid w:val="005B4F06"/>
    <w:rsid w:val="005B739F"/>
    <w:rsid w:val="005C3C1A"/>
    <w:rsid w:val="005D0A03"/>
    <w:rsid w:val="005D4E7F"/>
    <w:rsid w:val="005D55A4"/>
    <w:rsid w:val="005D672C"/>
    <w:rsid w:val="005E1BF2"/>
    <w:rsid w:val="005E5EE1"/>
    <w:rsid w:val="005F20E4"/>
    <w:rsid w:val="005F2BFF"/>
    <w:rsid w:val="005F5BE3"/>
    <w:rsid w:val="00604EA4"/>
    <w:rsid w:val="006210F4"/>
    <w:rsid w:val="00622314"/>
    <w:rsid w:val="0062393D"/>
    <w:rsid w:val="0062464D"/>
    <w:rsid w:val="006249AA"/>
    <w:rsid w:val="00627CAB"/>
    <w:rsid w:val="00634115"/>
    <w:rsid w:val="00636A38"/>
    <w:rsid w:val="00636AFB"/>
    <w:rsid w:val="0064481D"/>
    <w:rsid w:val="0065326A"/>
    <w:rsid w:val="00654ABE"/>
    <w:rsid w:val="00671910"/>
    <w:rsid w:val="006751B1"/>
    <w:rsid w:val="0067545F"/>
    <w:rsid w:val="00686C93"/>
    <w:rsid w:val="006876EE"/>
    <w:rsid w:val="00690482"/>
    <w:rsid w:val="006A220F"/>
    <w:rsid w:val="006A2D4B"/>
    <w:rsid w:val="006B4CAC"/>
    <w:rsid w:val="006B6665"/>
    <w:rsid w:val="006C2CF1"/>
    <w:rsid w:val="006C6DEF"/>
    <w:rsid w:val="006D0C70"/>
    <w:rsid w:val="006D1A8A"/>
    <w:rsid w:val="006D6885"/>
    <w:rsid w:val="006D6ECB"/>
    <w:rsid w:val="006E0B5D"/>
    <w:rsid w:val="006F1BEA"/>
    <w:rsid w:val="006F3078"/>
    <w:rsid w:val="006F520D"/>
    <w:rsid w:val="007008A8"/>
    <w:rsid w:val="00700D55"/>
    <w:rsid w:val="0070161E"/>
    <w:rsid w:val="00714667"/>
    <w:rsid w:val="00714A68"/>
    <w:rsid w:val="00714E2B"/>
    <w:rsid w:val="00717728"/>
    <w:rsid w:val="00717F39"/>
    <w:rsid w:val="007202C3"/>
    <w:rsid w:val="00720F40"/>
    <w:rsid w:val="007320F5"/>
    <w:rsid w:val="007350DB"/>
    <w:rsid w:val="007371E4"/>
    <w:rsid w:val="0074240D"/>
    <w:rsid w:val="007430BD"/>
    <w:rsid w:val="00744736"/>
    <w:rsid w:val="00750CD3"/>
    <w:rsid w:val="00751312"/>
    <w:rsid w:val="0075268F"/>
    <w:rsid w:val="00762EFF"/>
    <w:rsid w:val="00767E3A"/>
    <w:rsid w:val="00775047"/>
    <w:rsid w:val="007854BE"/>
    <w:rsid w:val="00786A99"/>
    <w:rsid w:val="007876B9"/>
    <w:rsid w:val="0079090A"/>
    <w:rsid w:val="007946EA"/>
    <w:rsid w:val="00795F2F"/>
    <w:rsid w:val="007A308B"/>
    <w:rsid w:val="007A72A8"/>
    <w:rsid w:val="007A7B73"/>
    <w:rsid w:val="007B3742"/>
    <w:rsid w:val="007B4C00"/>
    <w:rsid w:val="007C046F"/>
    <w:rsid w:val="007C76AE"/>
    <w:rsid w:val="007D3058"/>
    <w:rsid w:val="007D7155"/>
    <w:rsid w:val="007E361F"/>
    <w:rsid w:val="007F3BDD"/>
    <w:rsid w:val="007F4BE5"/>
    <w:rsid w:val="00802185"/>
    <w:rsid w:val="00806F2C"/>
    <w:rsid w:val="0080783E"/>
    <w:rsid w:val="00811A70"/>
    <w:rsid w:val="0081565F"/>
    <w:rsid w:val="008266B8"/>
    <w:rsid w:val="008338CC"/>
    <w:rsid w:val="00837BF5"/>
    <w:rsid w:val="00837FDB"/>
    <w:rsid w:val="00844E98"/>
    <w:rsid w:val="00845CB3"/>
    <w:rsid w:val="00847138"/>
    <w:rsid w:val="00852BD5"/>
    <w:rsid w:val="0085326F"/>
    <w:rsid w:val="00860DFA"/>
    <w:rsid w:val="008673DC"/>
    <w:rsid w:val="0087352B"/>
    <w:rsid w:val="00873F0B"/>
    <w:rsid w:val="00887065"/>
    <w:rsid w:val="008965BA"/>
    <w:rsid w:val="00897939"/>
    <w:rsid w:val="008A414F"/>
    <w:rsid w:val="008B52FB"/>
    <w:rsid w:val="008B68F4"/>
    <w:rsid w:val="008B6D7C"/>
    <w:rsid w:val="008C64D4"/>
    <w:rsid w:val="008C7ABC"/>
    <w:rsid w:val="008F5A29"/>
    <w:rsid w:val="00903159"/>
    <w:rsid w:val="009072E2"/>
    <w:rsid w:val="00907CB1"/>
    <w:rsid w:val="00910E41"/>
    <w:rsid w:val="00913519"/>
    <w:rsid w:val="00916DB3"/>
    <w:rsid w:val="009233EA"/>
    <w:rsid w:val="00931329"/>
    <w:rsid w:val="00935E1D"/>
    <w:rsid w:val="00941D31"/>
    <w:rsid w:val="00944711"/>
    <w:rsid w:val="0094475F"/>
    <w:rsid w:val="00946E42"/>
    <w:rsid w:val="00966A64"/>
    <w:rsid w:val="00986FCF"/>
    <w:rsid w:val="009977D5"/>
    <w:rsid w:val="009A28E8"/>
    <w:rsid w:val="009B1A58"/>
    <w:rsid w:val="009B3F13"/>
    <w:rsid w:val="009B7FAE"/>
    <w:rsid w:val="009C5880"/>
    <w:rsid w:val="009D23CC"/>
    <w:rsid w:val="009D44F8"/>
    <w:rsid w:val="009D7513"/>
    <w:rsid w:val="009E0613"/>
    <w:rsid w:val="00A04AE2"/>
    <w:rsid w:val="00A059A0"/>
    <w:rsid w:val="00A157C1"/>
    <w:rsid w:val="00A160CF"/>
    <w:rsid w:val="00A201D8"/>
    <w:rsid w:val="00A30AF8"/>
    <w:rsid w:val="00A31017"/>
    <w:rsid w:val="00A3208E"/>
    <w:rsid w:val="00A374B7"/>
    <w:rsid w:val="00A402B8"/>
    <w:rsid w:val="00A42CAB"/>
    <w:rsid w:val="00A43185"/>
    <w:rsid w:val="00A46375"/>
    <w:rsid w:val="00A46392"/>
    <w:rsid w:val="00A51E63"/>
    <w:rsid w:val="00A62FBD"/>
    <w:rsid w:val="00A72397"/>
    <w:rsid w:val="00A726E1"/>
    <w:rsid w:val="00A76DF3"/>
    <w:rsid w:val="00A8060D"/>
    <w:rsid w:val="00A834ED"/>
    <w:rsid w:val="00A872BC"/>
    <w:rsid w:val="00A9048D"/>
    <w:rsid w:val="00AA48C3"/>
    <w:rsid w:val="00AB1432"/>
    <w:rsid w:val="00AB3D7D"/>
    <w:rsid w:val="00AB6750"/>
    <w:rsid w:val="00AC3892"/>
    <w:rsid w:val="00AC4B14"/>
    <w:rsid w:val="00AC5E22"/>
    <w:rsid w:val="00AC7F40"/>
    <w:rsid w:val="00AD217C"/>
    <w:rsid w:val="00AD60DF"/>
    <w:rsid w:val="00AE18BF"/>
    <w:rsid w:val="00AE4D21"/>
    <w:rsid w:val="00AE5A11"/>
    <w:rsid w:val="00AE6DB6"/>
    <w:rsid w:val="00AE7317"/>
    <w:rsid w:val="00AF016A"/>
    <w:rsid w:val="00AF07B9"/>
    <w:rsid w:val="00AF6305"/>
    <w:rsid w:val="00B04542"/>
    <w:rsid w:val="00B14659"/>
    <w:rsid w:val="00B147FB"/>
    <w:rsid w:val="00B16979"/>
    <w:rsid w:val="00B20840"/>
    <w:rsid w:val="00B213DE"/>
    <w:rsid w:val="00B25A27"/>
    <w:rsid w:val="00B27762"/>
    <w:rsid w:val="00B32A18"/>
    <w:rsid w:val="00B357A1"/>
    <w:rsid w:val="00B40739"/>
    <w:rsid w:val="00B52F39"/>
    <w:rsid w:val="00B57348"/>
    <w:rsid w:val="00B5736C"/>
    <w:rsid w:val="00B66448"/>
    <w:rsid w:val="00B7060F"/>
    <w:rsid w:val="00B74FC1"/>
    <w:rsid w:val="00B83BBE"/>
    <w:rsid w:val="00BA05F1"/>
    <w:rsid w:val="00BA3D4C"/>
    <w:rsid w:val="00BB0622"/>
    <w:rsid w:val="00BB1BD2"/>
    <w:rsid w:val="00BB30ED"/>
    <w:rsid w:val="00BC3C97"/>
    <w:rsid w:val="00BC5E27"/>
    <w:rsid w:val="00BC7107"/>
    <w:rsid w:val="00BD6D21"/>
    <w:rsid w:val="00BE0B68"/>
    <w:rsid w:val="00BE0E3C"/>
    <w:rsid w:val="00BE5151"/>
    <w:rsid w:val="00BF338F"/>
    <w:rsid w:val="00BF4909"/>
    <w:rsid w:val="00C0580C"/>
    <w:rsid w:val="00C142DC"/>
    <w:rsid w:val="00C151D3"/>
    <w:rsid w:val="00C2501E"/>
    <w:rsid w:val="00C373F7"/>
    <w:rsid w:val="00C40DD7"/>
    <w:rsid w:val="00C45B27"/>
    <w:rsid w:val="00C50D6F"/>
    <w:rsid w:val="00C52F6A"/>
    <w:rsid w:val="00C56CA5"/>
    <w:rsid w:val="00C71F87"/>
    <w:rsid w:val="00C7265E"/>
    <w:rsid w:val="00C93A17"/>
    <w:rsid w:val="00C95642"/>
    <w:rsid w:val="00CA2FC1"/>
    <w:rsid w:val="00CA5BDB"/>
    <w:rsid w:val="00CA7E27"/>
    <w:rsid w:val="00CB1663"/>
    <w:rsid w:val="00CB226D"/>
    <w:rsid w:val="00CC092C"/>
    <w:rsid w:val="00CC2B82"/>
    <w:rsid w:val="00CD0BC8"/>
    <w:rsid w:val="00CD76F4"/>
    <w:rsid w:val="00CF376E"/>
    <w:rsid w:val="00CF679E"/>
    <w:rsid w:val="00CF7292"/>
    <w:rsid w:val="00CF7C99"/>
    <w:rsid w:val="00D0620B"/>
    <w:rsid w:val="00D11EC4"/>
    <w:rsid w:val="00D15BB8"/>
    <w:rsid w:val="00D2404D"/>
    <w:rsid w:val="00D24AFB"/>
    <w:rsid w:val="00D279C9"/>
    <w:rsid w:val="00D36863"/>
    <w:rsid w:val="00D4472F"/>
    <w:rsid w:val="00D4619C"/>
    <w:rsid w:val="00D479DC"/>
    <w:rsid w:val="00D50CC9"/>
    <w:rsid w:val="00D51E71"/>
    <w:rsid w:val="00D52F94"/>
    <w:rsid w:val="00D55B7F"/>
    <w:rsid w:val="00D563BB"/>
    <w:rsid w:val="00D57D6E"/>
    <w:rsid w:val="00D60764"/>
    <w:rsid w:val="00D61FF4"/>
    <w:rsid w:val="00D719CD"/>
    <w:rsid w:val="00D73331"/>
    <w:rsid w:val="00D76233"/>
    <w:rsid w:val="00D76794"/>
    <w:rsid w:val="00D852C2"/>
    <w:rsid w:val="00D871B3"/>
    <w:rsid w:val="00D87A87"/>
    <w:rsid w:val="00D92192"/>
    <w:rsid w:val="00D94AEB"/>
    <w:rsid w:val="00DA108A"/>
    <w:rsid w:val="00DA5320"/>
    <w:rsid w:val="00DB082E"/>
    <w:rsid w:val="00DB117B"/>
    <w:rsid w:val="00DB13CB"/>
    <w:rsid w:val="00DB25B0"/>
    <w:rsid w:val="00DB5196"/>
    <w:rsid w:val="00DC025A"/>
    <w:rsid w:val="00DC6177"/>
    <w:rsid w:val="00DD489C"/>
    <w:rsid w:val="00DD7052"/>
    <w:rsid w:val="00DE020D"/>
    <w:rsid w:val="00DE194A"/>
    <w:rsid w:val="00DE1DC0"/>
    <w:rsid w:val="00DE5AA0"/>
    <w:rsid w:val="00E067AB"/>
    <w:rsid w:val="00E06A82"/>
    <w:rsid w:val="00E07EEE"/>
    <w:rsid w:val="00E1128F"/>
    <w:rsid w:val="00E11CCD"/>
    <w:rsid w:val="00E17114"/>
    <w:rsid w:val="00E20545"/>
    <w:rsid w:val="00E243BD"/>
    <w:rsid w:val="00E31A2F"/>
    <w:rsid w:val="00E43DB7"/>
    <w:rsid w:val="00E503CC"/>
    <w:rsid w:val="00E56BC0"/>
    <w:rsid w:val="00E57158"/>
    <w:rsid w:val="00E63497"/>
    <w:rsid w:val="00E66E1D"/>
    <w:rsid w:val="00E67689"/>
    <w:rsid w:val="00E72B85"/>
    <w:rsid w:val="00E7554A"/>
    <w:rsid w:val="00E8007C"/>
    <w:rsid w:val="00E850B1"/>
    <w:rsid w:val="00E860AB"/>
    <w:rsid w:val="00E87EBF"/>
    <w:rsid w:val="00E90284"/>
    <w:rsid w:val="00E95159"/>
    <w:rsid w:val="00EA3012"/>
    <w:rsid w:val="00EB3EC5"/>
    <w:rsid w:val="00EB46C4"/>
    <w:rsid w:val="00EB4702"/>
    <w:rsid w:val="00EC23BF"/>
    <w:rsid w:val="00EC54D6"/>
    <w:rsid w:val="00EC54E1"/>
    <w:rsid w:val="00EC67C6"/>
    <w:rsid w:val="00ED22FA"/>
    <w:rsid w:val="00ED3D1A"/>
    <w:rsid w:val="00ED4CA7"/>
    <w:rsid w:val="00ED7510"/>
    <w:rsid w:val="00EE24C7"/>
    <w:rsid w:val="00EE26E9"/>
    <w:rsid w:val="00EE4BA4"/>
    <w:rsid w:val="00EF6378"/>
    <w:rsid w:val="00EF654B"/>
    <w:rsid w:val="00F10880"/>
    <w:rsid w:val="00F14586"/>
    <w:rsid w:val="00F150FD"/>
    <w:rsid w:val="00F15F38"/>
    <w:rsid w:val="00F1720F"/>
    <w:rsid w:val="00F22C11"/>
    <w:rsid w:val="00F24EFD"/>
    <w:rsid w:val="00F271BD"/>
    <w:rsid w:val="00F271C7"/>
    <w:rsid w:val="00F2786C"/>
    <w:rsid w:val="00F364D4"/>
    <w:rsid w:val="00F45EE8"/>
    <w:rsid w:val="00F5495F"/>
    <w:rsid w:val="00F56B1D"/>
    <w:rsid w:val="00F605C8"/>
    <w:rsid w:val="00F7244F"/>
    <w:rsid w:val="00F75346"/>
    <w:rsid w:val="00F82BF0"/>
    <w:rsid w:val="00F84C3E"/>
    <w:rsid w:val="00F87AA1"/>
    <w:rsid w:val="00F97CE2"/>
    <w:rsid w:val="00FA0857"/>
    <w:rsid w:val="00FA7608"/>
    <w:rsid w:val="00FB0E43"/>
    <w:rsid w:val="00FB2EF4"/>
    <w:rsid w:val="00FB3820"/>
    <w:rsid w:val="00FB5781"/>
    <w:rsid w:val="00FB670C"/>
    <w:rsid w:val="00FB7B8F"/>
    <w:rsid w:val="00FC4375"/>
    <w:rsid w:val="00FD1E1D"/>
    <w:rsid w:val="00FD42A9"/>
    <w:rsid w:val="00FD5A4A"/>
    <w:rsid w:val="00FD6641"/>
    <w:rsid w:val="00FE02EE"/>
    <w:rsid w:val="00FE452D"/>
    <w:rsid w:val="00FE5A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4EB27"/>
  <w15:docId w15:val="{EA87C226-E14D-4532-8323-85A526783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245C9"/>
    <w:rPr>
      <w:rFonts w:ascii="Times" w:hAnsi="Times"/>
      <w:sz w:val="24"/>
    </w:rPr>
  </w:style>
  <w:style w:type="paragraph" w:styleId="Titolo3">
    <w:name w:val="heading 3"/>
    <w:basedOn w:val="Normale"/>
    <w:next w:val="Normale"/>
    <w:qFormat/>
    <w:rsid w:val="002B7AD6"/>
    <w:pPr>
      <w:keepNext/>
      <w:outlineLvl w:val="2"/>
    </w:pPr>
    <w:rPr>
      <w:rFonts w:ascii="Arial" w:hAnsi="Arial" w:cs="Arial"/>
      <w:sz w:val="28"/>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245C9"/>
    <w:pPr>
      <w:tabs>
        <w:tab w:val="center" w:pos="4819"/>
        <w:tab w:val="right" w:pos="9638"/>
      </w:tabs>
    </w:pPr>
  </w:style>
  <w:style w:type="paragraph" w:styleId="Pidipagina">
    <w:name w:val="footer"/>
    <w:basedOn w:val="Normale"/>
    <w:link w:val="PidipaginaCarattere"/>
    <w:uiPriority w:val="99"/>
    <w:rsid w:val="005245C9"/>
    <w:pPr>
      <w:tabs>
        <w:tab w:val="center" w:pos="4819"/>
        <w:tab w:val="right" w:pos="9638"/>
      </w:tabs>
    </w:pPr>
  </w:style>
  <w:style w:type="paragraph" w:styleId="NormaleWeb">
    <w:name w:val="Normal (Web)"/>
    <w:basedOn w:val="Normale"/>
    <w:rsid w:val="002B4992"/>
    <w:pPr>
      <w:spacing w:before="100" w:beforeAutospacing="1" w:after="100" w:afterAutospacing="1"/>
    </w:pPr>
    <w:rPr>
      <w:rFonts w:ascii="Times New Roman" w:hAnsi="Times New Roman"/>
      <w:szCs w:val="24"/>
    </w:rPr>
  </w:style>
  <w:style w:type="character" w:styleId="Enfasigrassetto">
    <w:name w:val="Strong"/>
    <w:qFormat/>
    <w:rsid w:val="002B4992"/>
    <w:rPr>
      <w:b/>
      <w:bCs/>
    </w:rPr>
  </w:style>
  <w:style w:type="character" w:styleId="Collegamentoipertestuale">
    <w:name w:val="Hyperlink"/>
    <w:rsid w:val="000C31B5"/>
    <w:rPr>
      <w:color w:val="0000FF"/>
      <w:u w:val="single"/>
    </w:rPr>
  </w:style>
  <w:style w:type="paragraph" w:styleId="Mappadocumento">
    <w:name w:val="Document Map"/>
    <w:basedOn w:val="Normale"/>
    <w:semiHidden/>
    <w:rsid w:val="00A9048D"/>
    <w:pPr>
      <w:shd w:val="clear" w:color="auto" w:fill="000080"/>
    </w:pPr>
    <w:rPr>
      <w:rFonts w:ascii="Tahoma" w:hAnsi="Tahoma" w:cs="Tahoma"/>
      <w:sz w:val="20"/>
    </w:rPr>
  </w:style>
  <w:style w:type="character" w:customStyle="1" w:styleId="google-src-text1">
    <w:name w:val="google-src-text1"/>
    <w:rsid w:val="006249AA"/>
    <w:rPr>
      <w:vanish/>
      <w:webHidden w:val="0"/>
      <w:specVanish w:val="0"/>
    </w:rPr>
  </w:style>
  <w:style w:type="character" w:customStyle="1" w:styleId="titolo1">
    <w:name w:val="titolo1"/>
    <w:rsid w:val="00FA7608"/>
    <w:rPr>
      <w:rFonts w:ascii="Arial" w:hAnsi="Arial" w:cs="Arial" w:hint="default"/>
      <w:color w:val="F00097"/>
      <w:sz w:val="17"/>
      <w:szCs w:val="17"/>
    </w:rPr>
  </w:style>
  <w:style w:type="character" w:customStyle="1" w:styleId="htesto1">
    <w:name w:val="h_testo1"/>
    <w:rsid w:val="00FA7608"/>
    <w:rPr>
      <w:rFonts w:ascii="Arial" w:hAnsi="Arial" w:cs="Arial" w:hint="default"/>
      <w:color w:val="626262"/>
      <w:sz w:val="17"/>
      <w:szCs w:val="17"/>
    </w:rPr>
  </w:style>
  <w:style w:type="paragraph" w:customStyle="1" w:styleId="Contact">
    <w:name w:val="Contact"/>
    <w:basedOn w:val="Normale"/>
    <w:rsid w:val="002B7AD6"/>
    <w:pPr>
      <w:spacing w:line="230" w:lineRule="exact"/>
    </w:pPr>
    <w:rPr>
      <w:rFonts w:ascii="Verdana" w:hAnsi="Verdana"/>
      <w:i/>
      <w:color w:val="807479"/>
      <w:sz w:val="19"/>
      <w:lang w:eastAsia="en-US"/>
    </w:rPr>
  </w:style>
  <w:style w:type="paragraph" w:customStyle="1" w:styleId="contact0">
    <w:name w:val="contact"/>
    <w:basedOn w:val="Normale"/>
    <w:rsid w:val="002B7AD6"/>
    <w:pPr>
      <w:spacing w:line="230" w:lineRule="atLeast"/>
    </w:pPr>
    <w:rPr>
      <w:rFonts w:ascii="Verdana" w:hAnsi="Verdana"/>
      <w:i/>
      <w:iCs/>
      <w:color w:val="807479"/>
      <w:sz w:val="19"/>
      <w:szCs w:val="19"/>
    </w:rPr>
  </w:style>
  <w:style w:type="paragraph" w:styleId="Testofumetto">
    <w:name w:val="Balloon Text"/>
    <w:basedOn w:val="Normale"/>
    <w:link w:val="TestofumettoCarattere"/>
    <w:rsid w:val="00DE1DC0"/>
    <w:rPr>
      <w:rFonts w:ascii="Tahoma" w:hAnsi="Tahoma" w:cs="Tahoma"/>
      <w:sz w:val="16"/>
      <w:szCs w:val="16"/>
    </w:rPr>
  </w:style>
  <w:style w:type="character" w:customStyle="1" w:styleId="TestofumettoCarattere">
    <w:name w:val="Testo fumetto Carattere"/>
    <w:link w:val="Testofumetto"/>
    <w:rsid w:val="00DE1DC0"/>
    <w:rPr>
      <w:rFonts w:ascii="Tahoma" w:hAnsi="Tahoma" w:cs="Tahoma"/>
      <w:sz w:val="16"/>
      <w:szCs w:val="16"/>
    </w:rPr>
  </w:style>
  <w:style w:type="character" w:customStyle="1" w:styleId="PidipaginaCarattere">
    <w:name w:val="Piè di pagina Carattere"/>
    <w:link w:val="Pidipagina"/>
    <w:uiPriority w:val="99"/>
    <w:rsid w:val="00AB1432"/>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809619">
      <w:bodyDiv w:val="1"/>
      <w:marLeft w:val="0"/>
      <w:marRight w:val="0"/>
      <w:marTop w:val="0"/>
      <w:marBottom w:val="0"/>
      <w:divBdr>
        <w:top w:val="none" w:sz="0" w:space="0" w:color="auto"/>
        <w:left w:val="none" w:sz="0" w:space="0" w:color="auto"/>
        <w:bottom w:val="none" w:sz="0" w:space="0" w:color="auto"/>
        <w:right w:val="none" w:sz="0" w:space="0" w:color="auto"/>
      </w:divBdr>
    </w:div>
    <w:div w:id="1192231298">
      <w:bodyDiv w:val="1"/>
      <w:marLeft w:val="0"/>
      <w:marRight w:val="0"/>
      <w:marTop w:val="0"/>
      <w:marBottom w:val="0"/>
      <w:divBdr>
        <w:top w:val="none" w:sz="0" w:space="0" w:color="auto"/>
        <w:left w:val="none" w:sz="0" w:space="0" w:color="auto"/>
        <w:bottom w:val="none" w:sz="0" w:space="0" w:color="auto"/>
        <w:right w:val="none" w:sz="0" w:space="0" w:color="auto"/>
      </w:divBdr>
    </w:div>
    <w:div w:id="1925525431">
      <w:bodyDiv w:val="1"/>
      <w:marLeft w:val="0"/>
      <w:marRight w:val="0"/>
      <w:marTop w:val="0"/>
      <w:marBottom w:val="0"/>
      <w:divBdr>
        <w:top w:val="none" w:sz="0" w:space="0" w:color="auto"/>
        <w:left w:val="none" w:sz="0" w:space="0" w:color="auto"/>
        <w:bottom w:val="none" w:sz="0" w:space="0" w:color="auto"/>
        <w:right w:val="none" w:sz="0" w:space="0" w:color="auto"/>
      </w:divBdr>
      <w:divsChild>
        <w:div w:id="911768200">
          <w:marLeft w:val="0"/>
          <w:marRight w:val="0"/>
          <w:marTop w:val="0"/>
          <w:marBottom w:val="0"/>
          <w:divBdr>
            <w:top w:val="none" w:sz="0" w:space="0" w:color="auto"/>
            <w:left w:val="none" w:sz="0" w:space="0" w:color="auto"/>
            <w:bottom w:val="none" w:sz="0" w:space="0" w:color="auto"/>
            <w:right w:val="none" w:sz="0" w:space="0" w:color="auto"/>
          </w:divBdr>
          <w:divsChild>
            <w:div w:id="1943028919">
              <w:marLeft w:val="0"/>
              <w:marRight w:val="0"/>
              <w:marTop w:val="0"/>
              <w:marBottom w:val="0"/>
              <w:divBdr>
                <w:top w:val="none" w:sz="0" w:space="0" w:color="auto"/>
                <w:left w:val="none" w:sz="0" w:space="0" w:color="auto"/>
                <w:bottom w:val="none" w:sz="0" w:space="0" w:color="auto"/>
                <w:right w:val="none" w:sz="0" w:space="0" w:color="auto"/>
              </w:divBdr>
              <w:divsChild>
                <w:div w:id="1299414365">
                  <w:marLeft w:val="0"/>
                  <w:marRight w:val="0"/>
                  <w:marTop w:val="0"/>
                  <w:marBottom w:val="0"/>
                  <w:divBdr>
                    <w:top w:val="none" w:sz="0" w:space="0" w:color="auto"/>
                    <w:left w:val="none" w:sz="0" w:space="0" w:color="auto"/>
                    <w:bottom w:val="none" w:sz="0" w:space="0" w:color="auto"/>
                    <w:right w:val="none" w:sz="0" w:space="0" w:color="auto"/>
                  </w:divBdr>
                  <w:divsChild>
                    <w:div w:id="17338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16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83E34ABB146144DA020A7DFDD4D9888" ma:contentTypeVersion="13" ma:contentTypeDescription="Creare un nuovo documento." ma:contentTypeScope="" ma:versionID="6ea04faee68c5e7df4225f3ab39bd4f4">
  <xsd:schema xmlns:xsd="http://www.w3.org/2001/XMLSchema" xmlns:xs="http://www.w3.org/2001/XMLSchema" xmlns:p="http://schemas.microsoft.com/office/2006/metadata/properties" xmlns:ns2="795bd1f4-e19f-440e-be5c-4fb210f090a7" xmlns:ns3="f7e4ad7b-c889-4b0b-94e9-98e10a05fba1" targetNamespace="http://schemas.microsoft.com/office/2006/metadata/properties" ma:root="true" ma:fieldsID="a9272983d0d82d9d8cc5449c3a8f3e69" ns2:_="" ns3:_="">
    <xsd:import namespace="795bd1f4-e19f-440e-be5c-4fb210f090a7"/>
    <xsd:import namespace="f7e4ad7b-c889-4b0b-94e9-98e10a05f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bd1f4-e19f-440e-be5c-4fb210f09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4ad7b-c889-4b0b-94e9-98e10a05fba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5D621-328B-46AD-A32E-DF3B89232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bd1f4-e19f-440e-be5c-4fb210f090a7"/>
    <ds:schemaRef ds:uri="f7e4ad7b-c889-4b0b-94e9-98e10a05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8074BC-4F92-4017-9167-FD141535FFA0}">
  <ds:schemaRefs>
    <ds:schemaRef ds:uri="http://schemas.microsoft.com/sharepoint/v3/contenttype/forms"/>
  </ds:schemaRefs>
</ds:datastoreItem>
</file>

<file path=customXml/itemProps3.xml><?xml version="1.0" encoding="utf-8"?>
<ds:datastoreItem xmlns:ds="http://schemas.openxmlformats.org/officeDocument/2006/customXml" ds:itemID="{B04677C6-9E9A-4AFF-9AC3-946F744F2E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245619-0A8C-4F82-9E27-8FD4E540E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425</Words>
  <Characters>2429</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COMUNICATO STAMPA</vt:lpstr>
    </vt:vector>
  </TitlesOfParts>
  <Company>ANIE Federazione</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COMUNICATO STAMPA</dc:title>
  <dc:creator>franchi</dc:creator>
  <cp:lastModifiedBy>Scoppio Mariagrazia</cp:lastModifiedBy>
  <cp:revision>5</cp:revision>
  <cp:lastPrinted>2014-10-15T07:38:00Z</cp:lastPrinted>
  <dcterms:created xsi:type="dcterms:W3CDTF">2021-11-08T15:17:00Z</dcterms:created>
  <dcterms:modified xsi:type="dcterms:W3CDTF">2021-11-16T18:42:00Z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0x010100A83E34ABB146144DA020A7DFDD4D9888</vt:lpwstr>
  </property>
</Properties>
</file>